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FB7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br/>
      </w:r>
    </w:p>
    <w:p w:rsidR="00014FB7" w:rsidRDefault="00014FB7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6C02E0" w:rsidRDefault="006C02E0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b/>
          <w:bCs/>
          <w:color w:val="000000"/>
          <w:sz w:val="27"/>
          <w:szCs w:val="27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Методическое пособие</w:t>
      </w:r>
    </w:p>
    <w:p w:rsidR="00EE1816" w:rsidRPr="00014FB7" w:rsidRDefault="00EE1816" w:rsidP="006C02E0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44"/>
          <w:szCs w:val="44"/>
        </w:rPr>
      </w:pPr>
      <w:r w:rsidRPr="00014FB7">
        <w:rPr>
          <w:b/>
          <w:bCs/>
          <w:color w:val="000000"/>
          <w:sz w:val="44"/>
          <w:szCs w:val="44"/>
        </w:rPr>
        <w:t>«Технологическая карта</w:t>
      </w:r>
    </w:p>
    <w:p w:rsidR="00EE1816" w:rsidRPr="00014FB7" w:rsidRDefault="00EE1816" w:rsidP="006C02E0">
      <w:pPr>
        <w:pStyle w:val="a3"/>
        <w:shd w:val="clear" w:color="auto" w:fill="FFFFFF"/>
        <w:spacing w:before="0" w:beforeAutospacing="0" w:after="0" w:afterAutospacing="0" w:line="480" w:lineRule="auto"/>
        <w:jc w:val="center"/>
        <w:rPr>
          <w:rFonts w:ascii="Arial" w:hAnsi="Arial" w:cs="Arial"/>
          <w:color w:val="000000"/>
          <w:sz w:val="44"/>
          <w:szCs w:val="44"/>
        </w:rPr>
      </w:pPr>
      <w:r w:rsidRPr="00014FB7">
        <w:rPr>
          <w:b/>
          <w:bCs/>
          <w:color w:val="000000"/>
          <w:sz w:val="44"/>
          <w:szCs w:val="44"/>
        </w:rPr>
        <w:t>проектных и исследовательских работ</w:t>
      </w:r>
      <w:r w:rsidR="006C02E0">
        <w:rPr>
          <w:b/>
          <w:bCs/>
          <w:color w:val="000000"/>
          <w:sz w:val="44"/>
          <w:szCs w:val="44"/>
        </w:rPr>
        <w:t>»</w:t>
      </w:r>
    </w:p>
    <w:p w:rsidR="00EE1816" w:rsidRPr="00014FB7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44"/>
          <w:szCs w:val="44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7"/>
          <w:szCs w:val="27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  <w:r>
        <w:rPr>
          <w:color w:val="000000"/>
          <w:sz w:val="27"/>
          <w:szCs w:val="27"/>
        </w:rPr>
        <w:t>Учебно-исследовательская деятельность постепенно занимает все более важное место в процессе обучения. На данный момент индивидуальные проекты введены как часть единого государственного экзамена с определенным набором требований.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Это говорит о том, что учебно-исследовательской деятельностью необходимо заниматься на всех этапах обучения, начиная с начальной школы.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 последней учебно-практической конференции нам пришлось столкнуться с проблемой. Все работы предлагалось проверять по двум наборам критериев: для «творческих исследовательских работ» и для «творческих проектных работ». Около 60 процентов работ не подразумевали деление на эти категории. При оценивании жюри было вынужденно столкнуться ещё и с проблемой определения вида работ.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Проектная деятельность явление не новое. Много учителей с успехом применяют ее в своей работе.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  <w:shd w:val="clear" w:color="auto" w:fill="FFFFFF"/>
        </w:rPr>
        <w:t>Среди существующего многообразия классификаций проектов, представляемых исследователями в своих трудах, можно выбрать основание – </w:t>
      </w:r>
      <w:r>
        <w:rPr>
          <w:i/>
          <w:iCs/>
          <w:color w:val="000000"/>
          <w:sz w:val="27"/>
          <w:szCs w:val="27"/>
          <w:shd w:val="clear" w:color="auto" w:fill="FFFFFF"/>
        </w:rPr>
        <w:t>тип создаваемого продукта</w:t>
      </w:r>
      <w:r>
        <w:rPr>
          <w:color w:val="000000"/>
          <w:sz w:val="27"/>
          <w:szCs w:val="27"/>
          <w:shd w:val="clear" w:color="auto" w:fill="FFFFFF"/>
        </w:rPr>
        <w:t>, являющегося результатом проектной деятельности. Это наиболее логично, так как в данной классификации проект может быть </w:t>
      </w:r>
      <w:r>
        <w:rPr>
          <w:i/>
          <w:iCs/>
          <w:color w:val="000000"/>
          <w:sz w:val="27"/>
          <w:szCs w:val="27"/>
          <w:shd w:val="clear" w:color="auto" w:fill="FFFFFF"/>
        </w:rPr>
        <w:t>направленным на преобразования практики</w:t>
      </w:r>
      <w:r>
        <w:rPr>
          <w:color w:val="000000"/>
          <w:sz w:val="27"/>
          <w:szCs w:val="27"/>
          <w:shd w:val="clear" w:color="auto" w:fill="FFFFFF"/>
        </w:rPr>
        <w:t>, т.е. «творческие проектные работы» и </w:t>
      </w:r>
      <w:r>
        <w:rPr>
          <w:i/>
          <w:iCs/>
          <w:color w:val="000000"/>
          <w:sz w:val="27"/>
          <w:szCs w:val="27"/>
          <w:shd w:val="clear" w:color="auto" w:fill="FFFFFF"/>
        </w:rPr>
        <w:t>направленным на получение нового знания о способах решения проблемы, </w:t>
      </w:r>
      <w:r>
        <w:rPr>
          <w:color w:val="000000"/>
          <w:sz w:val="27"/>
          <w:szCs w:val="27"/>
          <w:shd w:val="clear" w:color="auto" w:fill="FFFFFF"/>
        </w:rPr>
        <w:t>т.е. «творческие исследовательские работы». 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  <w:shd w:val="clear" w:color="auto" w:fill="FFFFFF"/>
        </w:rPr>
        <w:t>Учебный проект для обучающегося — это возможность максимального раскрытия своего творческого потенциала. Учебная проектная и исследовательская работа, с точки зрения учителя, — это интегративное дидактическое средство развития, обучения и воспитания, которое позволяет развивать проектные компетенции учащихся.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 табл.1 представлены базовые этапы проектной деятельности и раскрыто содержание деятельности ученика на каждом из них. 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Этапы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Цель этапа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Содержание работы ученика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Подготовительный</w:t>
      </w:r>
      <w:r w:rsidR="00186AC3">
        <w:rPr>
          <w:i/>
          <w:iCs/>
          <w:color w:val="000000"/>
          <w:sz w:val="27"/>
          <w:szCs w:val="27"/>
        </w:rPr>
        <w:t xml:space="preserve"> этап: </w:t>
      </w: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</w:t>
      </w:r>
      <w:r w:rsidR="00EE1816">
        <w:rPr>
          <w:color w:val="000000"/>
          <w:sz w:val="27"/>
          <w:szCs w:val="27"/>
        </w:rPr>
        <w:t xml:space="preserve">Создать мотивацию 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</w:t>
      </w:r>
      <w:r w:rsidR="00EE1816">
        <w:rPr>
          <w:color w:val="000000"/>
          <w:sz w:val="27"/>
          <w:szCs w:val="27"/>
        </w:rPr>
        <w:t>Сформулировать цель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3 </w:t>
      </w:r>
      <w:r w:rsidR="00EE1816">
        <w:rPr>
          <w:color w:val="000000"/>
          <w:sz w:val="27"/>
          <w:szCs w:val="27"/>
        </w:rPr>
        <w:t>Осознание проблемной ситуации, выбор темы проекта</w:t>
      </w:r>
      <w:r w:rsidR="00EE1816"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t xml:space="preserve">4 </w:t>
      </w:r>
      <w:r w:rsidR="00EE1816">
        <w:rPr>
          <w:color w:val="000000"/>
          <w:sz w:val="27"/>
          <w:szCs w:val="27"/>
        </w:rPr>
        <w:t>Постановка цели: выявление проблемы, противоречия; формулировка задач</w:t>
      </w:r>
    </w:p>
    <w:p w:rsidR="00186AC3" w:rsidRDefault="00EE1816" w:rsidP="00186AC3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Концептуализация</w:t>
      </w:r>
      <w:r w:rsidR="00186AC3" w:rsidRPr="00186AC3">
        <w:rPr>
          <w:color w:val="000000"/>
          <w:sz w:val="27"/>
          <w:szCs w:val="27"/>
        </w:rPr>
        <w:t xml:space="preserve"> </w:t>
      </w:r>
      <w:proofErr w:type="gramStart"/>
      <w:r w:rsidR="00186AC3">
        <w:rPr>
          <w:color w:val="000000"/>
          <w:sz w:val="27"/>
          <w:szCs w:val="27"/>
        </w:rPr>
        <w:t>Разработать</w:t>
      </w:r>
      <w:proofErr w:type="gramEnd"/>
      <w:r w:rsidR="00186AC3">
        <w:rPr>
          <w:color w:val="000000"/>
          <w:sz w:val="27"/>
          <w:szCs w:val="27"/>
        </w:rPr>
        <w:t xml:space="preserve"> совокупность концептуальных идей</w:t>
      </w:r>
    </w:p>
    <w:p w:rsidR="00186AC3" w:rsidRDefault="00EE1816" w:rsidP="00186AC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 xml:space="preserve"> Программирование</w:t>
      </w:r>
      <w:r w:rsidR="00186AC3" w:rsidRPr="00186AC3">
        <w:rPr>
          <w:color w:val="000000"/>
          <w:sz w:val="27"/>
          <w:szCs w:val="27"/>
        </w:rPr>
        <w:t xml:space="preserve"> </w:t>
      </w:r>
      <w:proofErr w:type="gramStart"/>
      <w:r w:rsidR="00186AC3">
        <w:rPr>
          <w:color w:val="000000"/>
          <w:sz w:val="27"/>
          <w:szCs w:val="27"/>
        </w:rPr>
        <w:t>Создать</w:t>
      </w:r>
      <w:proofErr w:type="gramEnd"/>
      <w:r w:rsidR="00186AC3">
        <w:rPr>
          <w:color w:val="000000"/>
          <w:sz w:val="27"/>
          <w:szCs w:val="27"/>
        </w:rPr>
        <w:t xml:space="preserve"> программу</w:t>
      </w:r>
    </w:p>
    <w:p w:rsidR="00EE1816" w:rsidRPr="00186AC3" w:rsidRDefault="00EE1816" w:rsidP="00EE1816">
      <w:pPr>
        <w:pStyle w:val="a3"/>
        <w:shd w:val="clear" w:color="auto" w:fill="FFFFFF"/>
        <w:spacing w:before="0" w:beforeAutospacing="0" w:after="0" w:afterAutospacing="0"/>
        <w:rPr>
          <w:i/>
          <w:iCs/>
          <w:color w:val="000000"/>
          <w:sz w:val="27"/>
          <w:szCs w:val="27"/>
        </w:rPr>
      </w:pP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</w:p>
    <w:p w:rsidR="00EE1816" w:rsidRDefault="00EE1816" w:rsidP="00186AC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Построение ориентировочной схемы действий</w:t>
      </w:r>
      <w:r>
        <w:rPr>
          <w:color w:val="000000"/>
          <w:sz w:val="27"/>
          <w:szCs w:val="27"/>
        </w:rPr>
        <w:br/>
        <w:t>Обсуждение вариантов решения, составление маршрута получения результатов, способов и средств деятельности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 xml:space="preserve">1 </w:t>
      </w:r>
      <w:r w:rsidR="00EE1816">
        <w:rPr>
          <w:i/>
          <w:iCs/>
          <w:color w:val="000000"/>
          <w:sz w:val="27"/>
          <w:szCs w:val="27"/>
        </w:rPr>
        <w:t>Планирование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Разработать план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Построение плана деятельности. Обсуждение возможных вариантов исследования, выбор способов.</w:t>
      </w:r>
      <w:r>
        <w:rPr>
          <w:color w:val="000000"/>
          <w:sz w:val="27"/>
          <w:szCs w:val="27"/>
        </w:rPr>
        <w:br/>
        <w:t>Продумывание хода деятельности, распределение заданий в работе с учетом выбранной позиции (роли) Самообразование и актуализация знаний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 xml:space="preserve">2 </w:t>
      </w:r>
      <w:r w:rsidR="00EE1816">
        <w:rPr>
          <w:i/>
          <w:iCs/>
          <w:color w:val="000000"/>
          <w:sz w:val="27"/>
          <w:szCs w:val="27"/>
        </w:rPr>
        <w:t>Практический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Получить продукт проектной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Исследование, решение отдельных задач, компоновка и т. д. Сбор и обработка данных. Интерпретация результатов Графическое представление результатов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 xml:space="preserve">3 </w:t>
      </w:r>
      <w:r w:rsidR="00EE1816">
        <w:rPr>
          <w:i/>
          <w:iCs/>
          <w:color w:val="000000"/>
          <w:sz w:val="27"/>
          <w:szCs w:val="27"/>
        </w:rPr>
        <w:t>Аналитический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Провести рефлексию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Сравнение планируемых и реальных результатов, обобщение, выводы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 xml:space="preserve">4 </w:t>
      </w:r>
      <w:r w:rsidR="00EE1816">
        <w:rPr>
          <w:i/>
          <w:iCs/>
          <w:color w:val="000000"/>
          <w:sz w:val="27"/>
          <w:szCs w:val="27"/>
        </w:rPr>
        <w:t>Контрольно-коррекционный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Осуществить при необходимости коррекцию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Анализ успехов и ошибок, поиск способов коррекции ошибок</w:t>
      </w:r>
    </w:p>
    <w:p w:rsidR="00EE1816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 xml:space="preserve">5 </w:t>
      </w:r>
      <w:r w:rsidR="00EE1816">
        <w:rPr>
          <w:i/>
          <w:iCs/>
          <w:color w:val="000000"/>
          <w:sz w:val="27"/>
          <w:szCs w:val="27"/>
        </w:rPr>
        <w:t>Заключительный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Защитить проект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Проектная работа</w:t>
      </w:r>
    </w:p>
    <w:p w:rsidR="00EE1816" w:rsidRPr="00186AC3" w:rsidRDefault="00EE1816" w:rsidP="00186AC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186AC3">
        <w:rPr>
          <w:b/>
          <w:i/>
          <w:iCs/>
          <w:color w:val="000000"/>
          <w:sz w:val="27"/>
          <w:szCs w:val="27"/>
        </w:rPr>
        <w:t>Исследовательская работа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Отличия по характеристикам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Объект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Реальная практика, т.е. обращение в будущее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Область научного знания, т.е. обращение в прошлое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Предмет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Модель нововведений в практике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Часть, свойства, отношения, характеризующие объект исследования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Направленность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Проектная технология направлена на всестороннее и систематическое исследование проблемы практики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Исследовательская технология направлена на поиск способа решения проблемы, воспроизводимого и дающего достоверные результаты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Соотношение исследовательской и проектной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Исследуя, решаем реальную проблему практики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Исследуя, решаем исследовательскую проблему, направленную опосредованно на решение проблемы практики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Функциональные зависимости исследовательской и проектной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Исследование выступает средством для достижения целей проекта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Проектная деятельность выступает средством для решения специальных задач исследования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Отличия по результату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  <w:sz w:val="27"/>
          <w:szCs w:val="27"/>
        </w:rPr>
        <w:t>Главный итог деятельности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Получение практического результата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Достижение истины, получение новых знаний (субъективного или объективного характера), воспроизводимых и достоверных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Проектная и исследовательская работы также могут иметь различия и в процессе. Например, проектная работа чаще всего бывает коллективной и реже индивидуальной, исследовательская же индивидуальна по своей сути, хотя иногда бывает коллективной. Владение отличительными признаками видов проектов позволяет ученику сделать осознанный выбор и рефлексию ситуации, в которой он наиболее успешен, а учителю – грамотно провести ученика по траектории личностного развития, опирающейся на потенциал и ресурсы личности ученика.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Проанализировав Положение о проведении школьного и муниципального этапов учебно-исследовательской конференции, в котором представлены требования к оформлению и содержанию работ, я разработала следующие технологические карты. [1]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Термин «</w:t>
      </w:r>
      <w:r>
        <w:rPr>
          <w:b/>
          <w:bCs/>
          <w:color w:val="000000"/>
          <w:sz w:val="27"/>
          <w:szCs w:val="27"/>
        </w:rPr>
        <w:t>технологическая карта</w:t>
      </w:r>
      <w:r>
        <w:rPr>
          <w:color w:val="000000"/>
          <w:sz w:val="27"/>
          <w:szCs w:val="27"/>
        </w:rPr>
        <w:t>» пришел в педагогику из технических, точных производств.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Технологическая карта технических, точных производств – форма технологической документации, в которой описан весь процесс обработки изделия, указаны операции и их составные части, материалы, производственное оборудование, инструмент, технологические режимы, время, необходимое для изготовления изделия, квалификация работника и т.п.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Технологическая карта урока – современная форма планирования педагогического взаимодействия учителя и обучающихся.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Технологическая карта урока – обобщенно-графическое выражение сценария урока, основа его проектирования, средство представления индивидуальных методов работы. [2]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Исходя из выше перечисленных определений, можно сформулировать определение технологической карты проектной и исследовательской работ.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Технологическая карта проектной и исследовательской работы</w:t>
      </w:r>
      <w:r>
        <w:rPr>
          <w:color w:val="000000"/>
          <w:sz w:val="27"/>
          <w:szCs w:val="27"/>
        </w:rPr>
        <w:t> – это способ графического проектирования работы, таблица, позволяющая структурировать работу по выбранным учителем параметрам.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  <w:shd w:val="clear" w:color="auto" w:fill="FFFFFF"/>
        </w:rPr>
        <w:t xml:space="preserve">Наличие технологической карты избавит учителя от излишней опеки ученической группы, поможет действовать </w:t>
      </w:r>
      <w:proofErr w:type="spellStart"/>
      <w:r>
        <w:rPr>
          <w:color w:val="000000"/>
          <w:sz w:val="27"/>
          <w:szCs w:val="27"/>
          <w:shd w:val="clear" w:color="auto" w:fill="FFFFFF"/>
        </w:rPr>
        <w:t>целеустремленнее</w:t>
      </w:r>
      <w:proofErr w:type="spellEnd"/>
      <w:r>
        <w:rPr>
          <w:color w:val="000000"/>
          <w:sz w:val="27"/>
          <w:szCs w:val="27"/>
          <w:shd w:val="clear" w:color="auto" w:fill="FFFFFF"/>
        </w:rPr>
        <w:t xml:space="preserve"> и результативнее</w:t>
      </w:r>
      <w:r>
        <w:rPr>
          <w:color w:val="000000"/>
          <w:sz w:val="27"/>
          <w:szCs w:val="27"/>
        </w:rPr>
        <w:t>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Технологическую карту также можно использовать как паспорт проекта.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табл. 3 представленная базовая модель технологической карты.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ФИО педагога: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Предмет/ класс: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Общая информация о работе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Тема: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Тип проекта: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Актуальность: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Проблема: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Задачи: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Гипотеза: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Продукт: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Трансляция проекта: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Структурные параметры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Основные этапы организации учебного времени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Дидактическая цель этапа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lastRenderedPageBreak/>
        <w:t>Содержание творческого взаимодействия педагога и обучающегося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Планируемые результаты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Действия ученика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Стратегия учителя</w:t>
      </w:r>
    </w:p>
    <w:p w:rsidR="00EE1816" w:rsidRDefault="00EE1816" w:rsidP="00186AC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186AC3" w:rsidRDefault="00EE1816" w:rsidP="00EE181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Данная базовая технологическая карта может использоваться как для оформления проектной работы, так и для оформления исследовательской работы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Приложение 1.</w:t>
      </w:r>
    </w:p>
    <w:p w:rsidR="00EE1816" w:rsidRDefault="00EE1816" w:rsidP="00EE181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Технологическая карта творческой исследовательской работы.</w:t>
      </w:r>
    </w:p>
    <w:p w:rsidR="00AE147C" w:rsidRPr="00AE147C" w:rsidRDefault="00AE147C" w:rsidP="00AE147C">
      <w:pPr>
        <w:pStyle w:val="a8"/>
        <w:jc w:val="center"/>
        <w:rPr>
          <w:rFonts w:ascii="Times New Roman" w:hAnsi="Times New Roman" w:cs="Times New Roman"/>
          <w:sz w:val="32"/>
          <w:szCs w:val="32"/>
        </w:rPr>
      </w:pPr>
      <w:r w:rsidRPr="00AE147C">
        <w:rPr>
          <w:rFonts w:ascii="Times New Roman" w:hAnsi="Times New Roman" w:cs="Times New Roman"/>
          <w:sz w:val="32"/>
          <w:szCs w:val="32"/>
        </w:rPr>
        <w:t>Влияния искусственного шума на морфологические и физиологические   показатели растений</w:t>
      </w:r>
    </w:p>
    <w:p w:rsidR="00AE147C" w:rsidRPr="00AE147C" w:rsidRDefault="00AE147C" w:rsidP="00AE147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E147C">
        <w:rPr>
          <w:rFonts w:ascii="Times New Roman" w:hAnsi="Times New Roman" w:cs="Times New Roman"/>
          <w:sz w:val="28"/>
          <w:szCs w:val="28"/>
        </w:rPr>
        <w:t xml:space="preserve">Выполнила: </w:t>
      </w:r>
    </w:p>
    <w:p w:rsidR="00AE147C" w:rsidRPr="00AE147C" w:rsidRDefault="00AE147C" w:rsidP="00AE147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E147C">
        <w:rPr>
          <w:rFonts w:ascii="Times New Roman" w:hAnsi="Times New Roman" w:cs="Times New Roman"/>
          <w:sz w:val="28"/>
          <w:szCs w:val="28"/>
        </w:rPr>
        <w:t>Карпова Ксения Вячеславовна</w:t>
      </w:r>
    </w:p>
    <w:p w:rsidR="00AE147C" w:rsidRPr="00AE147C" w:rsidRDefault="00AE147C" w:rsidP="00AE147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E147C">
        <w:rPr>
          <w:rFonts w:ascii="Times New Roman" w:hAnsi="Times New Roman" w:cs="Times New Roman"/>
          <w:sz w:val="28"/>
          <w:szCs w:val="28"/>
        </w:rPr>
        <w:t>Дом детского творчества</w:t>
      </w:r>
    </w:p>
    <w:p w:rsidR="00AE147C" w:rsidRPr="00AE147C" w:rsidRDefault="00AE147C" w:rsidP="00AE147C">
      <w:pPr>
        <w:jc w:val="right"/>
        <w:rPr>
          <w:rFonts w:ascii="Times New Roman" w:hAnsi="Times New Roman" w:cs="Times New Roman"/>
          <w:sz w:val="28"/>
          <w:szCs w:val="28"/>
        </w:rPr>
      </w:pPr>
      <w:r w:rsidRPr="00AE147C">
        <w:rPr>
          <w:rFonts w:ascii="Times New Roman" w:hAnsi="Times New Roman" w:cs="Times New Roman"/>
          <w:sz w:val="28"/>
          <w:szCs w:val="28"/>
        </w:rPr>
        <w:t>11 класс</w:t>
      </w:r>
    </w:p>
    <w:p w:rsidR="00AE147C" w:rsidRPr="00AE147C" w:rsidRDefault="00AE147C" w:rsidP="00AE147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AE147C">
        <w:rPr>
          <w:rFonts w:ascii="Times New Roman" w:hAnsi="Times New Roman" w:cs="Times New Roman"/>
          <w:sz w:val="28"/>
          <w:szCs w:val="28"/>
        </w:rPr>
        <w:t xml:space="preserve">Научный руководитель: </w:t>
      </w:r>
    </w:p>
    <w:p w:rsidR="00AE147C" w:rsidRPr="00AE147C" w:rsidRDefault="00AE147C" w:rsidP="00AE147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AE147C">
        <w:rPr>
          <w:rFonts w:ascii="Times New Roman" w:hAnsi="Times New Roman" w:cs="Times New Roman"/>
          <w:sz w:val="28"/>
          <w:szCs w:val="28"/>
        </w:rPr>
        <w:t>Даулетшина</w:t>
      </w:r>
      <w:proofErr w:type="spellEnd"/>
      <w:r w:rsidRPr="00AE147C">
        <w:rPr>
          <w:rFonts w:ascii="Times New Roman" w:hAnsi="Times New Roman" w:cs="Times New Roman"/>
          <w:sz w:val="28"/>
          <w:szCs w:val="28"/>
        </w:rPr>
        <w:t xml:space="preserve">  Альбина</w:t>
      </w:r>
      <w:proofErr w:type="gramEnd"/>
      <w:r w:rsidRPr="00AE147C">
        <w:rPr>
          <w:rFonts w:ascii="Times New Roman" w:hAnsi="Times New Roman" w:cs="Times New Roman"/>
          <w:sz w:val="28"/>
          <w:szCs w:val="28"/>
        </w:rPr>
        <w:t xml:space="preserve"> Фазы</w:t>
      </w:r>
    </w:p>
    <w:p w:rsidR="00AE147C" w:rsidRPr="00AE147C" w:rsidRDefault="00AE147C" w:rsidP="00AE147C">
      <w:pPr>
        <w:spacing w:after="0"/>
        <w:rPr>
          <w:rFonts w:ascii="Times New Roman" w:eastAsiaTheme="majorEastAsia" w:hAnsi="Times New Roman" w:cs="Times New Roman"/>
          <w:color w:val="2E74B5" w:themeColor="accent1" w:themeShade="BF"/>
          <w:sz w:val="28"/>
          <w:szCs w:val="28"/>
        </w:rPr>
      </w:pPr>
      <w:r w:rsidRPr="00AE147C">
        <w:rPr>
          <w:rFonts w:ascii="Times New Roman" w:hAnsi="Times New Roman" w:cs="Times New Roman"/>
          <w:sz w:val="28"/>
          <w:szCs w:val="28"/>
        </w:rPr>
        <w:t>Содержание</w:t>
      </w:r>
    </w:p>
    <w:p w:rsidR="00AE147C" w:rsidRDefault="00AE147C" w:rsidP="00AE147C">
      <w:pPr>
        <w:spacing w:after="0"/>
        <w:ind w:left="57"/>
        <w:rPr>
          <w:sz w:val="28"/>
          <w:szCs w:val="28"/>
        </w:rPr>
      </w:pPr>
      <w:r>
        <w:rPr>
          <w:sz w:val="28"/>
          <w:szCs w:val="28"/>
        </w:rPr>
        <w:t>Введение</w:t>
      </w:r>
    </w:p>
    <w:p w:rsidR="00AE147C" w:rsidRDefault="00AE147C" w:rsidP="00AE147C">
      <w:pPr>
        <w:spacing w:after="0"/>
        <w:rPr>
          <w:sz w:val="28"/>
          <w:szCs w:val="28"/>
        </w:rPr>
      </w:pPr>
      <w:r w:rsidRPr="004D043D">
        <w:rPr>
          <w:sz w:val="28"/>
          <w:szCs w:val="28"/>
        </w:rPr>
        <w:t>Теоретическая часть</w:t>
      </w:r>
      <w:r w:rsidRPr="00AE7EFD">
        <w:rPr>
          <w:sz w:val="28"/>
          <w:szCs w:val="28"/>
        </w:rPr>
        <w:t>.</w:t>
      </w:r>
    </w:p>
    <w:p w:rsidR="00AE147C" w:rsidRDefault="00AE147C" w:rsidP="00AE147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Влияние </w:t>
      </w:r>
      <w:r w:rsidRPr="00DE540E">
        <w:rPr>
          <w:sz w:val="28"/>
          <w:szCs w:val="28"/>
        </w:rPr>
        <w:t xml:space="preserve">искусственного шума </w:t>
      </w:r>
      <w:r>
        <w:rPr>
          <w:sz w:val="28"/>
          <w:szCs w:val="28"/>
        </w:rPr>
        <w:t xml:space="preserve">на </w:t>
      </w:r>
      <w:r w:rsidRPr="003C7535">
        <w:rPr>
          <w:sz w:val="28"/>
          <w:szCs w:val="28"/>
        </w:rPr>
        <w:t>всхожесть</w:t>
      </w:r>
      <w:r>
        <w:rPr>
          <w:sz w:val="28"/>
          <w:szCs w:val="28"/>
        </w:rPr>
        <w:t xml:space="preserve"> семян </w:t>
      </w:r>
      <w:r w:rsidRPr="00AE7EFD">
        <w:rPr>
          <w:sz w:val="28"/>
          <w:szCs w:val="28"/>
        </w:rPr>
        <w:t xml:space="preserve"> </w:t>
      </w:r>
    </w:p>
    <w:p w:rsidR="00AE147C" w:rsidRDefault="00AE147C" w:rsidP="00AE147C">
      <w:pPr>
        <w:spacing w:after="0"/>
        <w:rPr>
          <w:sz w:val="28"/>
          <w:szCs w:val="28"/>
        </w:rPr>
      </w:pPr>
      <w:r w:rsidRPr="004D043D">
        <w:rPr>
          <w:sz w:val="28"/>
          <w:szCs w:val="28"/>
        </w:rPr>
        <w:t>Практическая часть</w:t>
      </w:r>
    </w:p>
    <w:p w:rsidR="00AE147C" w:rsidRDefault="00AE147C" w:rsidP="00AE147C">
      <w:pPr>
        <w:spacing w:after="0"/>
        <w:rPr>
          <w:sz w:val="28"/>
          <w:szCs w:val="28"/>
        </w:rPr>
      </w:pPr>
      <w:r w:rsidRPr="004D043D">
        <w:rPr>
          <w:sz w:val="28"/>
          <w:szCs w:val="28"/>
        </w:rPr>
        <w:t>Результат исследования</w:t>
      </w:r>
    </w:p>
    <w:p w:rsidR="00AE147C" w:rsidRPr="00A17B16" w:rsidRDefault="00AE147C" w:rsidP="00AE147C">
      <w:pPr>
        <w:spacing w:after="0"/>
        <w:rPr>
          <w:bCs/>
          <w:sz w:val="28"/>
          <w:szCs w:val="28"/>
        </w:rPr>
      </w:pPr>
      <w:r w:rsidRPr="00EC5A47">
        <w:rPr>
          <w:bCs/>
          <w:sz w:val="28"/>
          <w:szCs w:val="28"/>
        </w:rPr>
        <w:t xml:space="preserve">Влияние </w:t>
      </w:r>
      <w:r w:rsidRPr="00DE540E">
        <w:rPr>
          <w:bCs/>
          <w:sz w:val="28"/>
          <w:szCs w:val="28"/>
        </w:rPr>
        <w:t xml:space="preserve">искусственного шума </w:t>
      </w:r>
      <w:r w:rsidRPr="00EC5A47">
        <w:rPr>
          <w:bCs/>
          <w:sz w:val="28"/>
          <w:szCs w:val="28"/>
        </w:rPr>
        <w:t>на развити</w:t>
      </w:r>
      <w:r>
        <w:rPr>
          <w:bCs/>
          <w:sz w:val="28"/>
          <w:szCs w:val="28"/>
        </w:rPr>
        <w:t>е вегетативных органов растений</w:t>
      </w:r>
    </w:p>
    <w:p w:rsidR="00AE147C" w:rsidRDefault="00AE147C" w:rsidP="00AE147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Заключение </w:t>
      </w:r>
    </w:p>
    <w:p w:rsidR="00AE147C" w:rsidRPr="00353B15" w:rsidRDefault="00AE147C" w:rsidP="00AE147C">
      <w:pPr>
        <w:rPr>
          <w:sz w:val="28"/>
          <w:szCs w:val="28"/>
        </w:rPr>
      </w:pPr>
      <w:r>
        <w:rPr>
          <w:sz w:val="28"/>
          <w:szCs w:val="28"/>
        </w:rPr>
        <w:t>Использованная литература</w:t>
      </w:r>
    </w:p>
    <w:p w:rsidR="00AE147C" w:rsidRPr="00AE147C" w:rsidRDefault="00AE147C" w:rsidP="00AE147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147C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AE147C" w:rsidRDefault="00AE147C" w:rsidP="00AE1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E147C" w:rsidRPr="000840F6" w:rsidRDefault="00AE147C" w:rsidP="00AE147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Цель исследования:</w:t>
      </w:r>
      <w:r w:rsidRPr="000840F6">
        <w:rPr>
          <w:rFonts w:ascii="Times New Roman" w:hAnsi="Times New Roman" w:cs="Times New Roman"/>
          <w:sz w:val="28"/>
          <w:szCs w:val="28"/>
        </w:rPr>
        <w:t xml:space="preserve"> определить влияние звукового загрязнения при помощи мелодий с разными периодами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колебаний  на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развитие организма растения.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Описание методов решения задачи: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ходе исследования был проведен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мониторинг  двух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видов растений: горох «Амброзия» и Кресс-салат, выращенных в условиях, отличающихся амплитудой  и периодом звуковых колебаний.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Оборудование:</w:t>
      </w:r>
      <w:r>
        <w:rPr>
          <w:rFonts w:ascii="Times New Roman" w:hAnsi="Times New Roman" w:cs="Times New Roman"/>
          <w:sz w:val="28"/>
          <w:szCs w:val="28"/>
        </w:rPr>
        <w:t xml:space="preserve"> 3 стаканчика,</w:t>
      </w:r>
      <w:r w:rsidRPr="000840F6">
        <w:rPr>
          <w:rFonts w:ascii="Times New Roman" w:hAnsi="Times New Roman" w:cs="Times New Roman"/>
          <w:sz w:val="28"/>
          <w:szCs w:val="28"/>
        </w:rPr>
        <w:t xml:space="preserve"> семена гороха «Амброзия», Кресс-</w:t>
      </w:r>
      <w:r>
        <w:rPr>
          <w:rFonts w:ascii="Times New Roman" w:hAnsi="Times New Roman" w:cs="Times New Roman"/>
          <w:sz w:val="28"/>
          <w:szCs w:val="28"/>
        </w:rPr>
        <w:t>салат,</w:t>
      </w:r>
      <w:r w:rsidRPr="000840F6">
        <w:rPr>
          <w:rFonts w:ascii="Times New Roman" w:hAnsi="Times New Roman" w:cs="Times New Roman"/>
          <w:sz w:val="28"/>
          <w:szCs w:val="28"/>
        </w:rPr>
        <w:t xml:space="preserve"> 2 </w:t>
      </w:r>
      <w:r>
        <w:rPr>
          <w:rFonts w:ascii="Times New Roman" w:hAnsi="Times New Roman" w:cs="Times New Roman"/>
          <w:sz w:val="28"/>
          <w:szCs w:val="28"/>
        </w:rPr>
        <w:t xml:space="preserve">стеклянные банки,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земля, </w:t>
      </w:r>
      <w:r w:rsidRPr="000840F6">
        <w:rPr>
          <w:rFonts w:ascii="Times New Roman" w:hAnsi="Times New Roman" w:cs="Times New Roman"/>
          <w:sz w:val="28"/>
          <w:szCs w:val="28"/>
        </w:rPr>
        <w:t xml:space="preserve"> пищевой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пакет, 2 электронных проигрывателя  (см. приложение 1).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 xml:space="preserve">Гипотеза: </w:t>
      </w:r>
      <w:r w:rsidRPr="000840F6">
        <w:rPr>
          <w:rFonts w:ascii="Times New Roman" w:hAnsi="Times New Roman" w:cs="Times New Roman"/>
          <w:sz w:val="28"/>
          <w:szCs w:val="28"/>
        </w:rPr>
        <w:t xml:space="preserve">шум с частым периодом колебаний (на примере современной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 xml:space="preserve">музыки)   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отрицательно влияет на рост побегов, а шум с коротким периодом колебаний (на примере классической музыки)  положительно влияет на рост побегов. 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 xml:space="preserve">Новизна </w:t>
      </w:r>
      <w:proofErr w:type="gramStart"/>
      <w:r w:rsidRPr="000840F6">
        <w:rPr>
          <w:rFonts w:ascii="Times New Roman" w:hAnsi="Times New Roman" w:cs="Times New Roman"/>
          <w:b/>
          <w:sz w:val="28"/>
          <w:szCs w:val="28"/>
        </w:rPr>
        <w:t>работы</w:t>
      </w:r>
      <w:r w:rsidRPr="000840F6">
        <w:rPr>
          <w:rFonts w:ascii="Times New Roman" w:hAnsi="Times New Roman" w:cs="Times New Roman"/>
          <w:sz w:val="28"/>
          <w:szCs w:val="28"/>
        </w:rPr>
        <w:t xml:space="preserve">  в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том, что в доступных  источниках недостаточно информации о влиянии звукового загрязнения на конкретные виды живых организмов.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 xml:space="preserve">Актуальность: </w:t>
      </w:r>
      <w:r w:rsidRPr="000840F6">
        <w:rPr>
          <w:rFonts w:ascii="Times New Roman" w:hAnsi="Times New Roman" w:cs="Times New Roman"/>
          <w:sz w:val="28"/>
          <w:szCs w:val="28"/>
        </w:rPr>
        <w:t xml:space="preserve">в нашей жизни появляются все больше новых звуков извлекаемые от деятельности человека. Важно знать какие звуки оказывают положительное влияние, а какие приводят </w:t>
      </w:r>
      <w:r>
        <w:rPr>
          <w:rFonts w:ascii="Times New Roman" w:hAnsi="Times New Roman" w:cs="Times New Roman"/>
          <w:sz w:val="28"/>
          <w:szCs w:val="28"/>
        </w:rPr>
        <w:t>к негативным последствиям</w:t>
      </w:r>
      <w:r w:rsidRPr="000840F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b/>
          <w:sz w:val="28"/>
          <w:szCs w:val="28"/>
        </w:rPr>
        <w:t>Практическое применение:</w:t>
      </w:r>
      <w:r w:rsidRPr="000840F6">
        <w:rPr>
          <w:rFonts w:ascii="Times New Roman" w:hAnsi="Times New Roman" w:cs="Times New Roman"/>
          <w:sz w:val="28"/>
          <w:szCs w:val="28"/>
        </w:rPr>
        <w:t xml:space="preserve"> Результаты этой работы </w:t>
      </w:r>
      <w:r>
        <w:rPr>
          <w:rFonts w:ascii="Times New Roman" w:hAnsi="Times New Roman" w:cs="Times New Roman"/>
          <w:sz w:val="28"/>
          <w:szCs w:val="28"/>
        </w:rPr>
        <w:t>могут быть использованы</w:t>
      </w:r>
      <w:r w:rsidRPr="000840F6">
        <w:rPr>
          <w:rFonts w:ascii="Times New Roman" w:hAnsi="Times New Roman" w:cs="Times New Roman"/>
          <w:sz w:val="28"/>
          <w:szCs w:val="28"/>
        </w:rPr>
        <w:t xml:space="preserve"> в сельском хозяйстве для лучшей урожайности и скорости роста, а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так же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в промышленности и во всех случаях, где используются растения.</w:t>
      </w:r>
    </w:p>
    <w:p w:rsidR="00AE147C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AE147C" w:rsidRPr="000840F6" w:rsidRDefault="00AE147C" w:rsidP="00AE147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0840F6">
        <w:rPr>
          <w:rFonts w:ascii="Times New Roman" w:hAnsi="Times New Roman" w:cs="Times New Roman"/>
          <w:b/>
          <w:sz w:val="28"/>
          <w:szCs w:val="28"/>
        </w:rPr>
        <w:t>Тест-объект</w:t>
      </w:r>
      <w:r w:rsidRPr="000840F6">
        <w:rPr>
          <w:rFonts w:ascii="Times New Roman" w:hAnsi="Times New Roman" w:cs="Times New Roman"/>
          <w:sz w:val="28"/>
          <w:szCs w:val="28"/>
        </w:rPr>
        <w:t xml:space="preserve">: кресс-салат и горох «Амброзия». </w:t>
      </w:r>
    </w:p>
    <w:p w:rsidR="00AE147C" w:rsidRDefault="00AE147C" w:rsidP="00AE147C">
      <w:pPr>
        <w:pStyle w:val="a7"/>
        <w:rPr>
          <w:rFonts w:ascii="Times New Roman" w:hAnsi="Times New Roman" w:cs="Times New Roman"/>
          <w:b/>
          <w:sz w:val="28"/>
          <w:szCs w:val="28"/>
        </w:rPr>
      </w:pPr>
    </w:p>
    <w:p w:rsidR="00AE147C" w:rsidRPr="000840F6" w:rsidRDefault="00AE147C" w:rsidP="00AE147C">
      <w:pPr>
        <w:pStyle w:val="a7"/>
        <w:rPr>
          <w:rFonts w:ascii="Times New Roman" w:hAnsi="Times New Roman" w:cs="Times New Roman"/>
          <w:sz w:val="28"/>
          <w:szCs w:val="28"/>
        </w:rPr>
      </w:pPr>
      <w:proofErr w:type="gramStart"/>
      <w:r w:rsidRPr="000840F6">
        <w:rPr>
          <w:rFonts w:ascii="Times New Roman" w:hAnsi="Times New Roman" w:cs="Times New Roman"/>
          <w:b/>
          <w:sz w:val="28"/>
          <w:szCs w:val="28"/>
        </w:rPr>
        <w:t>Задачи :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147C" w:rsidRPr="000840F6" w:rsidRDefault="00AE147C" w:rsidP="00AE147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Изучить литературу по предмету исследования. </w:t>
      </w:r>
    </w:p>
    <w:p w:rsidR="00AE147C" w:rsidRPr="000840F6" w:rsidRDefault="00AE147C" w:rsidP="00AE147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Провести исследование по изучению звукового загрязнения на морфологические и физиологические показатели растений.</w:t>
      </w:r>
    </w:p>
    <w:p w:rsidR="00AE147C" w:rsidRPr="000840F6" w:rsidRDefault="00AE147C" w:rsidP="00AE147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Выявить действие различных частот колебаний звуковых волн на примере современной и классической музыки.</w:t>
      </w:r>
    </w:p>
    <w:p w:rsidR="00AE147C" w:rsidRPr="000840F6" w:rsidRDefault="00AE147C" w:rsidP="00AE147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Сравнить результаты наблюдений </w:t>
      </w:r>
    </w:p>
    <w:p w:rsidR="00AE147C" w:rsidRDefault="00AE147C" w:rsidP="00AE147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Сделать выводы по данной работе. </w:t>
      </w:r>
    </w:p>
    <w:p w:rsidR="00AE147C" w:rsidRPr="00AE147C" w:rsidRDefault="00AE147C" w:rsidP="00AE147C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AE147C">
        <w:rPr>
          <w:rFonts w:ascii="Times New Roman" w:eastAsia="Calibri" w:hAnsi="Times New Roman" w:cs="Times New Roman"/>
          <w:b/>
          <w:sz w:val="28"/>
          <w:szCs w:val="28"/>
        </w:rPr>
        <w:t xml:space="preserve">   Теоретическая часть</w:t>
      </w:r>
    </w:p>
    <w:p w:rsidR="00AE147C" w:rsidRDefault="00AE147C" w:rsidP="00AE147C">
      <w:pPr>
        <w:rPr>
          <w:rFonts w:ascii="Times New Roman" w:eastAsia="Calibri" w:hAnsi="Times New Roman" w:cs="Times New Roman"/>
          <w:sz w:val="28"/>
          <w:szCs w:val="28"/>
        </w:rPr>
      </w:pPr>
    </w:p>
    <w:p w:rsidR="00AE147C" w:rsidRPr="0080175B" w:rsidRDefault="00AE147C" w:rsidP="00AE147C">
      <w:pPr>
        <w:rPr>
          <w:rFonts w:ascii="Times New Roman" w:eastAsia="Calibri" w:hAnsi="Times New Roman" w:cs="Times New Roman"/>
          <w:sz w:val="28"/>
          <w:szCs w:val="28"/>
        </w:rPr>
      </w:pPr>
      <w:r w:rsidRPr="0080175B">
        <w:rPr>
          <w:rFonts w:ascii="Times New Roman" w:eastAsia="Calibri" w:hAnsi="Times New Roman" w:cs="Times New Roman"/>
          <w:sz w:val="28"/>
          <w:szCs w:val="28"/>
        </w:rPr>
        <w:t>Глава 1. Таинстве</w:t>
      </w:r>
      <w:r>
        <w:rPr>
          <w:rFonts w:ascii="Times New Roman" w:eastAsia="Calibri" w:hAnsi="Times New Roman" w:cs="Times New Roman"/>
          <w:sz w:val="28"/>
          <w:szCs w:val="28"/>
        </w:rPr>
        <w:t>нное влияние музыки на растения</w:t>
      </w:r>
    </w:p>
    <w:p w:rsidR="00AE147C" w:rsidRDefault="00AE147C" w:rsidP="00AE147C">
      <w:pPr>
        <w:pStyle w:val="a3"/>
        <w:shd w:val="clear" w:color="auto" w:fill="FFFFFF"/>
        <w:spacing w:before="150" w:beforeAutospacing="0" w:after="150" w:afterAutospacing="0" w:line="293" w:lineRule="atLeast"/>
        <w:jc w:val="both"/>
        <w:textAlignment w:val="baseline"/>
        <w:rPr>
          <w:rStyle w:val="10"/>
        </w:rPr>
      </w:pPr>
    </w:p>
    <w:p w:rsidR="00AE147C" w:rsidRPr="00AE147C" w:rsidRDefault="00AE147C" w:rsidP="00AE147C">
      <w:pPr>
        <w:pStyle w:val="a3"/>
        <w:shd w:val="clear" w:color="auto" w:fill="FFFFFF"/>
        <w:spacing w:before="150" w:beforeAutospacing="0" w:after="150" w:afterAutospacing="0" w:line="293" w:lineRule="atLeast"/>
        <w:jc w:val="center"/>
        <w:textAlignment w:val="baseline"/>
        <w:rPr>
          <w:sz w:val="28"/>
          <w:szCs w:val="28"/>
        </w:rPr>
      </w:pPr>
      <w:r w:rsidRPr="00AE147C">
        <w:rPr>
          <w:rStyle w:val="10"/>
          <w:rFonts w:ascii="Times New Roman" w:hAnsi="Times New Roman" w:cs="Times New Roman"/>
          <w:color w:val="auto"/>
        </w:rPr>
        <w:t>Влияние искусственного шума на всхожесть семян</w:t>
      </w:r>
    </w:p>
    <w:p w:rsidR="00AE147C" w:rsidRPr="003B6185" w:rsidRDefault="00AE147C" w:rsidP="00AE147C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3B6185">
        <w:rPr>
          <w:rFonts w:ascii="Times New Roman" w:hAnsi="Times New Roman" w:cs="Times New Roman"/>
          <w:color w:val="auto"/>
          <w:sz w:val="28"/>
          <w:szCs w:val="28"/>
        </w:rPr>
        <w:t>Практическая часть: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Посадили в три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стаканчика  по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30 семян кресс-салата и по 2 семени гороха «Амброзия» на глубину  1 см.  в один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день .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 Показатели влажности и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температуры  одинаковы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для всех образцов. 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Виды растений: горох, Кресс- салат. Первые семена кресс-салата взошли на 3 день, а горох «Амброзия» на 5 день. Наблюдения ведутся с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3  по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8 день. 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proofErr w:type="gramStart"/>
      <w:r w:rsidRPr="000840F6">
        <w:rPr>
          <w:rFonts w:ascii="Times New Roman" w:hAnsi="Times New Roman" w:cs="Times New Roman"/>
          <w:sz w:val="28"/>
          <w:szCs w:val="28"/>
        </w:rPr>
        <w:lastRenderedPageBreak/>
        <w:t>Образец  №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>1 поместим в замкнутый сосуд (банка) с классической мелодией :  Иоганна Себастьяна Баха «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Orchestral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Suite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No.2 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B 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minor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>»(см. приложение 7) и «Ария «Воздух» из оркестровой сюиты 3 ре – мажор» (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см.приложение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6)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proofErr w:type="gramStart"/>
      <w:r w:rsidRPr="000840F6">
        <w:rPr>
          <w:rFonts w:ascii="Times New Roman" w:hAnsi="Times New Roman" w:cs="Times New Roman"/>
          <w:sz w:val="28"/>
          <w:szCs w:val="28"/>
        </w:rPr>
        <w:t>Образец  №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>2 поместим в замкнутый сосуд (банка) с современной музыкой: «</w:t>
      </w:r>
      <w:r w:rsidRPr="000840F6">
        <w:rPr>
          <w:rFonts w:ascii="Times New Roman" w:hAnsi="Times New Roman" w:cs="Times New Roman"/>
          <w:sz w:val="28"/>
          <w:szCs w:val="28"/>
          <w:lang w:val="en-US"/>
        </w:rPr>
        <w:t>Kevin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0840F6">
        <w:rPr>
          <w:rFonts w:ascii="Times New Roman" w:hAnsi="Times New Roman" w:cs="Times New Roman"/>
          <w:sz w:val="28"/>
          <w:szCs w:val="28"/>
          <w:lang w:val="en-US"/>
        </w:rPr>
        <w:t>Rudolf</w:t>
      </w:r>
      <w:r w:rsidRPr="000840F6">
        <w:rPr>
          <w:rFonts w:ascii="Times New Roman" w:hAnsi="Times New Roman" w:cs="Times New Roman"/>
          <w:sz w:val="28"/>
          <w:szCs w:val="28"/>
        </w:rPr>
        <w:t xml:space="preserve"> - </w:t>
      </w:r>
      <w:r w:rsidRPr="000840F6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0840F6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0840F6">
        <w:rPr>
          <w:rFonts w:ascii="Times New Roman" w:hAnsi="Times New Roman" w:cs="Times New Roman"/>
          <w:sz w:val="28"/>
          <w:szCs w:val="28"/>
          <w:lang w:val="en-US"/>
        </w:rPr>
        <w:t>city</w:t>
      </w:r>
      <w:r w:rsidRPr="000840F6">
        <w:rPr>
          <w:rFonts w:ascii="Times New Roman" w:hAnsi="Times New Roman" w:cs="Times New Roman"/>
          <w:sz w:val="28"/>
          <w:szCs w:val="28"/>
        </w:rPr>
        <w:t>1»(см. приложение 5) и  «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Gaslight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Anthem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Handwritten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 w:rsidRPr="000840F6">
        <w:rPr>
          <w:rFonts w:ascii="Times New Roman" w:hAnsi="Times New Roman" w:cs="Times New Roman"/>
          <w:sz w:val="28"/>
          <w:szCs w:val="28"/>
        </w:rPr>
        <w:t>Howl</w:t>
      </w:r>
      <w:proofErr w:type="spellEnd"/>
      <w:r w:rsidRPr="000840F6">
        <w:rPr>
          <w:rFonts w:ascii="Times New Roman" w:hAnsi="Times New Roman" w:cs="Times New Roman"/>
          <w:sz w:val="28"/>
          <w:szCs w:val="28"/>
        </w:rPr>
        <w:t xml:space="preserve">» (см. приложение 4)  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Образец №3 поместим в пакет без музыки и лишнего шума (см. приложение 3). Образец № 3 является контрольным. </w:t>
      </w:r>
    </w:p>
    <w:p w:rsidR="00AE147C" w:rsidRPr="000840F6" w:rsidRDefault="00AE147C" w:rsidP="00AE147C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Музык играет 23 часа в сутки, лишь один час растения находятся без музыки, так как требуется заряжать электронное устройство. </w:t>
      </w:r>
    </w:p>
    <w:p w:rsidR="00AE147C" w:rsidRPr="000840F6" w:rsidRDefault="00AE147C" w:rsidP="00AE147C">
      <w:pPr>
        <w:pStyle w:val="1"/>
        <w:jc w:val="center"/>
        <w:rPr>
          <w:rFonts w:ascii="Times New Roman" w:hAnsi="Times New Roman" w:cs="Times New Roman"/>
        </w:rPr>
      </w:pPr>
      <w:r w:rsidRPr="000840F6">
        <w:rPr>
          <w:rFonts w:ascii="Times New Roman" w:hAnsi="Times New Roman" w:cs="Times New Roman"/>
        </w:rPr>
        <w:t>Результат исследования:</w:t>
      </w:r>
    </w:p>
    <w:tbl>
      <w:tblPr>
        <w:tblStyle w:val="11"/>
        <w:tblW w:w="0" w:type="auto"/>
        <w:tblLook w:val="01E0" w:firstRow="1" w:lastRow="1" w:firstColumn="1" w:lastColumn="1" w:noHBand="0" w:noVBand="0"/>
      </w:tblPr>
      <w:tblGrid>
        <w:gridCol w:w="1055"/>
        <w:gridCol w:w="2440"/>
        <w:gridCol w:w="2102"/>
        <w:gridCol w:w="2172"/>
        <w:gridCol w:w="1566"/>
      </w:tblGrid>
      <w:tr w:rsidR="00AE147C" w:rsidRPr="000840F6" w:rsidTr="005F22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День*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Вид растения 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Образец  № 1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Образец № 2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Образец № 3 </w:t>
            </w:r>
          </w:p>
        </w:tc>
      </w:tr>
      <w:tr w:rsidR="00AE147C" w:rsidRPr="000840F6" w:rsidTr="005F22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Кресс-салат (количество первых заростков)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E147C" w:rsidRPr="000840F6" w:rsidTr="005F22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Кресс-салат 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7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20</w:t>
            </w:r>
          </w:p>
        </w:tc>
      </w:tr>
      <w:tr w:rsidR="00AE147C" w:rsidRPr="000840F6" w:rsidTr="005F22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 w:val="restart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Кресс-салат 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21</w:t>
            </w:r>
          </w:p>
        </w:tc>
      </w:tr>
      <w:tr w:rsidR="00AE147C" w:rsidRPr="000840F6" w:rsidTr="005F22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 горох «Амброзия»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1 (первый заросток)</w:t>
            </w:r>
          </w:p>
        </w:tc>
      </w:tr>
      <w:tr w:rsidR="00AE147C" w:rsidRPr="000840F6" w:rsidTr="005F22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 w:val="restart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Кресс-салат (см. приложение2) 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9 нормально развивающихся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5 нормально развивающихся и  3 пожелтевшие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21</w:t>
            </w:r>
          </w:p>
        </w:tc>
      </w:tr>
      <w:tr w:rsidR="00AE147C" w:rsidRPr="000840F6" w:rsidTr="005F22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горох «Амброзия»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AE147C" w:rsidRPr="000840F6" w:rsidTr="005F22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 w:val="restart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7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Кресс-салат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 нормально развивающихся, 2 отстают, один погиб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22</w:t>
            </w:r>
          </w:p>
        </w:tc>
      </w:tr>
      <w:tr w:rsidR="00AE147C" w:rsidRPr="000840F6" w:rsidTr="005F22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горох «Амброзия»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AE147C" w:rsidRPr="000840F6" w:rsidTr="005F22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горох «Амброзия»</w:t>
            </w:r>
          </w:p>
        </w:tc>
        <w:tc>
          <w:tcPr>
            <w:tcW w:w="2105" w:type="dxa"/>
          </w:tcPr>
          <w:p w:rsidR="00AE147C" w:rsidRPr="000840F6" w:rsidRDefault="00AE147C" w:rsidP="005F2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 w:val="0"/>
                <w:sz w:val="28"/>
                <w:szCs w:val="28"/>
              </w:rPr>
              <w:t>2</w:t>
            </w:r>
          </w:p>
        </w:tc>
      </w:tr>
      <w:tr w:rsidR="00AE147C" w:rsidRPr="000840F6" w:rsidTr="005F22D3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 w:val="restart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 xml:space="preserve">Вывод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  <w:tcBorders>
              <w:bottom w:val="single" w:sz="4" w:space="0" w:color="auto"/>
              <w:right w:val="single" w:sz="4" w:space="0" w:color="auto"/>
            </w:tcBorders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t>% всхожести семян (кресс- салат)</w:t>
            </w:r>
          </w:p>
        </w:tc>
        <w:tc>
          <w:tcPr>
            <w:tcW w:w="2105" w:type="dxa"/>
            <w:tcBorders>
              <w:left w:val="single" w:sz="4" w:space="0" w:color="auto"/>
              <w:bottom w:val="single" w:sz="4" w:space="0" w:color="auto"/>
            </w:tcBorders>
          </w:tcPr>
          <w:p w:rsidR="00AE147C" w:rsidRPr="000840F6" w:rsidRDefault="00AE147C" w:rsidP="005F22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t>18%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  <w:tcBorders>
              <w:bottom w:val="single" w:sz="4" w:space="0" w:color="auto"/>
            </w:tcBorders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b/>
                <w:sz w:val="28"/>
                <w:szCs w:val="28"/>
              </w:rPr>
              <w:t>15%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  <w:tcBorders>
              <w:bottom w:val="single" w:sz="4" w:space="0" w:color="auto"/>
            </w:tcBorders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73%</w:t>
            </w:r>
          </w:p>
        </w:tc>
      </w:tr>
      <w:tr w:rsidR="00AE147C" w:rsidRPr="000840F6" w:rsidTr="005F22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  <w:vMerge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% всхожести семян (горох «Амброзия»)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E147C" w:rsidRPr="000840F6" w:rsidRDefault="00AE147C" w:rsidP="005F22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50%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75" w:type="dxa"/>
            <w:tcBorders>
              <w:top w:val="single" w:sz="4" w:space="0" w:color="auto"/>
              <w:bottom w:val="single" w:sz="4" w:space="0" w:color="auto"/>
            </w:tcBorders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AE147C" w:rsidRPr="000840F6" w:rsidTr="005F22D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3" w:type="dxa"/>
            <w:gridSpan w:val="5"/>
          </w:tcPr>
          <w:p w:rsidR="00AE147C" w:rsidRPr="000840F6" w:rsidRDefault="00AE147C" w:rsidP="005F22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40F6">
              <w:rPr>
                <w:rFonts w:ascii="Times New Roman" w:hAnsi="Times New Roman" w:cs="Times New Roman"/>
                <w:sz w:val="28"/>
                <w:szCs w:val="28"/>
              </w:rPr>
              <w:t>Шумовое загрязнение отрицательно влияет на всхожесть семян.</w:t>
            </w:r>
          </w:p>
        </w:tc>
      </w:tr>
    </w:tbl>
    <w:p w:rsidR="00AE147C" w:rsidRPr="000840F6" w:rsidRDefault="00AE147C" w:rsidP="00AE147C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*Дни считаются от момента посева семян.</w:t>
      </w:r>
    </w:p>
    <w:p w:rsidR="00AE147C" w:rsidRPr="00AE147C" w:rsidRDefault="00AE147C" w:rsidP="00AE14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br w:type="page"/>
      </w:r>
      <w:r w:rsidRPr="00AE147C">
        <w:rPr>
          <w:rFonts w:ascii="Times New Roman" w:hAnsi="Times New Roman" w:cs="Times New Roman"/>
          <w:b/>
          <w:sz w:val="28"/>
          <w:szCs w:val="28"/>
        </w:rPr>
        <w:lastRenderedPageBreak/>
        <w:t>Заключение</w:t>
      </w:r>
    </w:p>
    <w:p w:rsidR="00AE147C" w:rsidRPr="000840F6" w:rsidRDefault="00AE147C" w:rsidP="00AE147C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Чрезмерный шум – одна из важнейших проблем экологии. </w:t>
      </w:r>
    </w:p>
    <w:p w:rsidR="00AE147C" w:rsidRPr="000840F6" w:rsidRDefault="00AE147C" w:rsidP="00AE147C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Шум, созданный мелодиями с коротким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периодом  и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высокой амплитудой колебаний звуковых волн (на примере современной музыки)  губительно влияет на растения: </w:t>
      </w:r>
    </w:p>
    <w:p w:rsidR="00AE147C" w:rsidRPr="000840F6" w:rsidRDefault="00AE147C" w:rsidP="00AE147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Замедляется рост</w:t>
      </w:r>
    </w:p>
    <w:p w:rsidR="00AE147C" w:rsidRPr="000840F6" w:rsidRDefault="00AE147C" w:rsidP="00AE147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Всхожесть семян ухудшается </w:t>
      </w:r>
    </w:p>
    <w:p w:rsidR="00AE147C" w:rsidRPr="000840F6" w:rsidRDefault="00AE147C" w:rsidP="00AE147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Приводит к летальному исходу </w:t>
      </w:r>
    </w:p>
    <w:p w:rsidR="00AE147C" w:rsidRPr="000840F6" w:rsidRDefault="00AE147C" w:rsidP="00AE147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Клетки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малых  размеров</w:t>
      </w:r>
      <w:proofErr w:type="gramEnd"/>
    </w:p>
    <w:p w:rsidR="00AE147C" w:rsidRPr="000840F6" w:rsidRDefault="00AE147C" w:rsidP="00AE147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Ослабевает корневая система</w:t>
      </w:r>
    </w:p>
    <w:p w:rsidR="00AE147C" w:rsidRPr="000840F6" w:rsidRDefault="00AE147C" w:rsidP="00AE147C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Мезофилл слабо развит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Шум, созданный мелодиями с продолжительным </w:t>
      </w:r>
      <w:proofErr w:type="gramStart"/>
      <w:r w:rsidRPr="000840F6">
        <w:rPr>
          <w:rFonts w:ascii="Times New Roman" w:hAnsi="Times New Roman" w:cs="Times New Roman"/>
          <w:sz w:val="28"/>
          <w:szCs w:val="28"/>
        </w:rPr>
        <w:t>периодом  и</w:t>
      </w:r>
      <w:proofErr w:type="gramEnd"/>
      <w:r w:rsidRPr="000840F6">
        <w:rPr>
          <w:rFonts w:ascii="Times New Roman" w:hAnsi="Times New Roman" w:cs="Times New Roman"/>
          <w:sz w:val="28"/>
          <w:szCs w:val="28"/>
        </w:rPr>
        <w:t xml:space="preserve"> низкой  амплитудой колебаний звуковых волн (на примере классической музыки) </w:t>
      </w:r>
    </w:p>
    <w:p w:rsidR="00AE147C" w:rsidRPr="000840F6" w:rsidRDefault="00AE147C" w:rsidP="00AE147C">
      <w:pPr>
        <w:spacing w:after="0"/>
        <w:ind w:left="57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Положительно влияет на:   </w:t>
      </w:r>
    </w:p>
    <w:p w:rsidR="00AE147C" w:rsidRPr="000840F6" w:rsidRDefault="00AE147C" w:rsidP="00AE147C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Размер клеток</w:t>
      </w:r>
    </w:p>
    <w:p w:rsidR="00AE147C" w:rsidRPr="000840F6" w:rsidRDefault="00AE147C" w:rsidP="00AE147C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Рост корня</w:t>
      </w:r>
    </w:p>
    <w:p w:rsidR="00AE147C" w:rsidRPr="000840F6" w:rsidRDefault="00AE147C" w:rsidP="00AE147C">
      <w:pPr>
        <w:pStyle w:val="a5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Мезофилл листа  </w:t>
      </w:r>
    </w:p>
    <w:p w:rsidR="00AE147C" w:rsidRPr="000840F6" w:rsidRDefault="00AE147C" w:rsidP="00AE147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>Отрицательно влияет на:</w:t>
      </w:r>
    </w:p>
    <w:p w:rsidR="00AE147C" w:rsidRPr="000840F6" w:rsidRDefault="00AE147C" w:rsidP="00AE147C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Всхожесть семян </w:t>
      </w:r>
    </w:p>
    <w:p w:rsidR="00AE147C" w:rsidRPr="000840F6" w:rsidRDefault="00AE147C" w:rsidP="00AE147C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Рост стебля </w:t>
      </w:r>
    </w:p>
    <w:p w:rsidR="00AE147C" w:rsidRPr="000840F6" w:rsidRDefault="00AE147C" w:rsidP="00AE147C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Распускание листьев </w:t>
      </w:r>
    </w:p>
    <w:p w:rsidR="00AE147C" w:rsidRPr="000840F6" w:rsidRDefault="00AE147C" w:rsidP="00AE147C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AE147C" w:rsidRDefault="00AE147C" w:rsidP="00AE147C">
      <w:pPr>
        <w:rPr>
          <w:rFonts w:ascii="Times New Roman" w:hAnsi="Times New Roman" w:cs="Times New Roman"/>
          <w:sz w:val="28"/>
          <w:szCs w:val="28"/>
        </w:rPr>
      </w:pPr>
      <w:r w:rsidRPr="000840F6">
        <w:rPr>
          <w:rFonts w:ascii="Times New Roman" w:hAnsi="Times New Roman" w:cs="Times New Roman"/>
          <w:sz w:val="28"/>
          <w:szCs w:val="28"/>
        </w:rPr>
        <w:t xml:space="preserve"> </w:t>
      </w:r>
      <w:r w:rsidRPr="00C927DE">
        <w:rPr>
          <w:rFonts w:ascii="Times New Roman" w:hAnsi="Times New Roman" w:cs="Times New Roman"/>
          <w:sz w:val="28"/>
          <w:szCs w:val="28"/>
        </w:rPr>
        <w:t>Использованная литература:</w:t>
      </w:r>
    </w:p>
    <w:p w:rsidR="00AE147C" w:rsidRDefault="00AE147C" w:rsidP="00AE147C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Брыкова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017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 В. Проектная деятельность в учебном процессе. // М.: Чистые пруды, 2006.</w:t>
      </w:r>
    </w:p>
    <w:p w:rsidR="00AE147C" w:rsidRDefault="00AE147C" w:rsidP="00AE147C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Вейник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А.И. Термодинамика реальных процессов. «Мир музыки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Рукопись 2011г</w:t>
      </w:r>
    </w:p>
    <w:p w:rsidR="00186AC3" w:rsidRDefault="00186AC3" w:rsidP="00EE181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sectPr w:rsidR="00186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1719C9"/>
    <w:multiLevelType w:val="hybridMultilevel"/>
    <w:tmpl w:val="C178C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F328E"/>
    <w:multiLevelType w:val="hybridMultilevel"/>
    <w:tmpl w:val="551C8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7B52CF"/>
    <w:multiLevelType w:val="multilevel"/>
    <w:tmpl w:val="48ECD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250710"/>
    <w:multiLevelType w:val="hybridMultilevel"/>
    <w:tmpl w:val="7D5A6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17E6D"/>
    <w:multiLevelType w:val="hybridMultilevel"/>
    <w:tmpl w:val="BFA0E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816"/>
    <w:rsid w:val="00014FB7"/>
    <w:rsid w:val="000647B3"/>
    <w:rsid w:val="00186AC3"/>
    <w:rsid w:val="006C02E0"/>
    <w:rsid w:val="00AE147C"/>
    <w:rsid w:val="00C83944"/>
    <w:rsid w:val="00DD355B"/>
    <w:rsid w:val="00EE1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A66EA"/>
  <w15:chartTrackingRefBased/>
  <w15:docId w15:val="{6E55CF2A-AB09-432A-B0A0-5DF79CEE9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147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E147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1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E1816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E147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E147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5">
    <w:name w:val="List Paragraph"/>
    <w:basedOn w:val="a"/>
    <w:uiPriority w:val="34"/>
    <w:qFormat/>
    <w:rsid w:val="00AE147C"/>
    <w:pPr>
      <w:spacing w:after="200" w:line="276" w:lineRule="auto"/>
      <w:ind w:left="720"/>
      <w:contextualSpacing/>
    </w:pPr>
  </w:style>
  <w:style w:type="table" w:styleId="a6">
    <w:name w:val="Table Grid"/>
    <w:basedOn w:val="a1"/>
    <w:uiPriority w:val="59"/>
    <w:rsid w:val="00AE14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AE147C"/>
    <w:pPr>
      <w:spacing w:after="0" w:line="240" w:lineRule="auto"/>
    </w:pPr>
  </w:style>
  <w:style w:type="paragraph" w:styleId="a8">
    <w:name w:val="Title"/>
    <w:basedOn w:val="a"/>
    <w:next w:val="a"/>
    <w:link w:val="a9"/>
    <w:uiPriority w:val="10"/>
    <w:qFormat/>
    <w:rsid w:val="00AE147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AE147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customStyle="1" w:styleId="11">
    <w:name w:val="Светлый список1"/>
    <w:basedOn w:val="a1"/>
    <w:uiPriority w:val="61"/>
    <w:rsid w:val="00AE147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4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E1725-7B4C-49E8-BD6F-CC00A98DE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8</Pages>
  <Words>1738</Words>
  <Characters>9912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2019-02-16T09:40:00Z</dcterms:created>
  <dcterms:modified xsi:type="dcterms:W3CDTF">2019-02-18T07:21:00Z</dcterms:modified>
</cp:coreProperties>
</file>